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4BFDE" w14:textId="77777777" w:rsidR="00C737C9" w:rsidRDefault="00C737C9" w:rsidP="00C737C9">
      <w:pPr>
        <w:jc w:val="center"/>
        <w:rPr>
          <w:rFonts w:ascii="Calibri" w:hAnsi="Calibri" w:cs="Calibri"/>
          <w:sz w:val="24"/>
          <w:szCs w:val="24"/>
          <w:lang w:val="en-GB"/>
        </w:rPr>
      </w:pPr>
      <w:bookmarkStart w:id="0" w:name="_GoBack"/>
      <w:bookmarkEnd w:id="0"/>
    </w:p>
    <w:p w14:paraId="5181B018" w14:textId="77777777" w:rsidR="00C737C9" w:rsidRPr="00976D24" w:rsidRDefault="00C737C9" w:rsidP="00C737C9">
      <w:pPr>
        <w:jc w:val="center"/>
        <w:rPr>
          <w:rFonts w:ascii="Calibri" w:hAnsi="Calibri" w:cs="Calibri"/>
          <w:sz w:val="21"/>
          <w:szCs w:val="21"/>
          <w:lang w:val="en-GB"/>
        </w:rPr>
      </w:pPr>
      <w:r w:rsidRPr="00976D24">
        <w:rPr>
          <w:rFonts w:ascii="Calibri" w:hAnsi="Calibri" w:cs="Calibri"/>
          <w:sz w:val="21"/>
          <w:szCs w:val="21"/>
          <w:lang w:val="en-GB"/>
        </w:rPr>
        <w:t>An international seminar</w:t>
      </w:r>
    </w:p>
    <w:p w14:paraId="774D59B7" w14:textId="77777777" w:rsidR="00C737C9" w:rsidRPr="002B7491" w:rsidRDefault="00C737C9" w:rsidP="00E2786A">
      <w:pPr>
        <w:jc w:val="center"/>
        <w:rPr>
          <w:rFonts w:ascii="Calibri" w:hAnsi="Calibri" w:cs="Calibri"/>
          <w:b/>
          <w:i/>
          <w:sz w:val="28"/>
          <w:szCs w:val="28"/>
          <w:lang w:val="en-GB"/>
        </w:rPr>
      </w:pPr>
      <w:r w:rsidRPr="002B7491">
        <w:rPr>
          <w:rFonts w:ascii="Calibri" w:hAnsi="Calibri" w:cs="Calibri"/>
          <w:b/>
          <w:i/>
          <w:sz w:val="28"/>
          <w:szCs w:val="28"/>
          <w:lang w:val="en-GB"/>
        </w:rPr>
        <w:t>Green and digital transition in the EU</w:t>
      </w:r>
    </w:p>
    <w:p w14:paraId="6D77A8E1" w14:textId="77777777" w:rsidR="00C737C9" w:rsidRPr="00976D24" w:rsidRDefault="00C737C9" w:rsidP="00E2786A">
      <w:pPr>
        <w:jc w:val="center"/>
        <w:rPr>
          <w:rFonts w:ascii="Calibri" w:hAnsi="Calibri" w:cs="Calibri"/>
          <w:sz w:val="21"/>
          <w:szCs w:val="21"/>
          <w:lang w:val="en-GB"/>
        </w:rPr>
      </w:pPr>
      <w:r w:rsidRPr="00976D24">
        <w:rPr>
          <w:rFonts w:ascii="Calibri" w:hAnsi="Calibri" w:cs="Calibri"/>
          <w:b/>
          <w:sz w:val="21"/>
          <w:szCs w:val="21"/>
          <w:lang w:val="en-GB"/>
        </w:rPr>
        <w:t>17</w:t>
      </w:r>
      <w:r w:rsidRPr="00976D24">
        <w:rPr>
          <w:rFonts w:ascii="Calibri" w:hAnsi="Calibri" w:cs="Calibri"/>
          <w:b/>
          <w:sz w:val="21"/>
          <w:szCs w:val="21"/>
          <w:vertAlign w:val="superscript"/>
          <w:lang w:val="en-GB"/>
        </w:rPr>
        <w:t>th</w:t>
      </w:r>
      <w:r w:rsidRPr="00976D24">
        <w:rPr>
          <w:rFonts w:ascii="Calibri" w:hAnsi="Calibri" w:cs="Calibri"/>
          <w:b/>
          <w:sz w:val="21"/>
          <w:szCs w:val="21"/>
          <w:lang w:val="en-GB"/>
        </w:rPr>
        <w:t xml:space="preserve"> of January 2024</w:t>
      </w:r>
    </w:p>
    <w:p w14:paraId="2296B30E" w14:textId="77777777" w:rsidR="00C737C9" w:rsidRPr="00976D24" w:rsidRDefault="00C737C9" w:rsidP="00E2786A">
      <w:pPr>
        <w:jc w:val="center"/>
        <w:rPr>
          <w:rFonts w:ascii="Calibri" w:hAnsi="Calibri" w:cs="Calibri"/>
          <w:sz w:val="21"/>
          <w:szCs w:val="21"/>
          <w:lang w:val="en-GB"/>
        </w:rPr>
      </w:pPr>
      <w:r w:rsidRPr="00976D24">
        <w:rPr>
          <w:rFonts w:ascii="Calibri" w:hAnsi="Calibri" w:cs="Calibri"/>
          <w:b/>
          <w:sz w:val="21"/>
          <w:szCs w:val="21"/>
          <w:lang w:val="en-GB"/>
        </w:rPr>
        <w:t>Poznań University of Economics and Business (Poland)</w:t>
      </w:r>
      <w:r w:rsidRPr="00976D24">
        <w:rPr>
          <w:rFonts w:ascii="Calibri" w:hAnsi="Calibri" w:cs="Calibri"/>
          <w:sz w:val="21"/>
          <w:szCs w:val="21"/>
          <w:lang w:val="en-GB"/>
        </w:rPr>
        <w:t>, room 236 A</w:t>
      </w:r>
    </w:p>
    <w:p w14:paraId="0A5FE88C" w14:textId="77777777" w:rsidR="00E2786A" w:rsidRPr="00976D24" w:rsidRDefault="00C737C9" w:rsidP="00E2786A">
      <w:pPr>
        <w:jc w:val="center"/>
        <w:rPr>
          <w:rFonts w:ascii="Calibri" w:hAnsi="Calibri" w:cs="Calibri"/>
          <w:sz w:val="21"/>
          <w:szCs w:val="21"/>
          <w:lang w:val="en-GB"/>
        </w:rPr>
      </w:pPr>
      <w:r w:rsidRPr="00976D24">
        <w:rPr>
          <w:rFonts w:ascii="Calibri" w:hAnsi="Calibri" w:cs="Calibri"/>
          <w:sz w:val="21"/>
          <w:szCs w:val="21"/>
          <w:lang w:val="en-GB"/>
        </w:rPr>
        <w:t>as part of the Jean Monnet Centre of Excellence (</w:t>
      </w:r>
      <w:proofErr w:type="spellStart"/>
      <w:r w:rsidRPr="00976D24">
        <w:rPr>
          <w:rFonts w:ascii="Calibri" w:hAnsi="Calibri" w:cs="Calibri"/>
          <w:sz w:val="21"/>
          <w:szCs w:val="21"/>
          <w:lang w:val="en-GB"/>
        </w:rPr>
        <w:t>JMCoE</w:t>
      </w:r>
      <w:proofErr w:type="spellEnd"/>
      <w:r w:rsidRPr="00976D24">
        <w:rPr>
          <w:rFonts w:ascii="Calibri" w:hAnsi="Calibri" w:cs="Calibri"/>
          <w:sz w:val="21"/>
          <w:szCs w:val="21"/>
          <w:lang w:val="en-GB"/>
        </w:rPr>
        <w:t xml:space="preserve">) </w:t>
      </w:r>
    </w:p>
    <w:p w14:paraId="1C68E8C7" w14:textId="698AC9C3" w:rsidR="0007455C" w:rsidRPr="00976D24" w:rsidRDefault="00C737C9" w:rsidP="00E2786A">
      <w:pPr>
        <w:jc w:val="center"/>
        <w:rPr>
          <w:rFonts w:ascii="Calibri" w:hAnsi="Calibri" w:cs="Calibri"/>
          <w:sz w:val="21"/>
          <w:szCs w:val="21"/>
          <w:lang w:val="en-GB"/>
        </w:rPr>
      </w:pPr>
      <w:r w:rsidRPr="00976D24">
        <w:rPr>
          <w:rFonts w:ascii="Calibri" w:hAnsi="Calibri" w:cs="Calibri"/>
          <w:sz w:val="21"/>
          <w:szCs w:val="21"/>
          <w:lang w:val="en-GB"/>
        </w:rPr>
        <w:t>"Resilient and transforming Europe" (TRANSFORM EU) activity</w:t>
      </w:r>
    </w:p>
    <w:p w14:paraId="7FB6CA52" w14:textId="77777777" w:rsidR="00A92D90" w:rsidRPr="00976D24" w:rsidRDefault="00C737C9" w:rsidP="00E2786A">
      <w:pPr>
        <w:jc w:val="center"/>
        <w:rPr>
          <w:b/>
          <w:sz w:val="21"/>
          <w:szCs w:val="21"/>
          <w:lang w:val="en-GB"/>
        </w:rPr>
      </w:pPr>
      <w:r w:rsidRPr="00976D24">
        <w:rPr>
          <w:b/>
          <w:sz w:val="21"/>
          <w:szCs w:val="21"/>
          <w:lang w:val="en-GB"/>
        </w:rPr>
        <w:t>Programme:</w:t>
      </w:r>
    </w:p>
    <w:tbl>
      <w:tblPr>
        <w:tblStyle w:val="Tabela-Siatka"/>
        <w:tblW w:w="0" w:type="auto"/>
        <w:tblLook w:val="04A0" w:firstRow="1" w:lastRow="0" w:firstColumn="1" w:lastColumn="0" w:noHBand="0" w:noVBand="1"/>
      </w:tblPr>
      <w:tblGrid>
        <w:gridCol w:w="1271"/>
        <w:gridCol w:w="1985"/>
        <w:gridCol w:w="2551"/>
        <w:gridCol w:w="3255"/>
      </w:tblGrid>
      <w:tr w:rsidR="00A92D90" w:rsidRPr="00FA334E" w14:paraId="373B1AB0" w14:textId="77777777" w:rsidTr="00217841">
        <w:trPr>
          <w:trHeight w:val="1025"/>
        </w:trPr>
        <w:tc>
          <w:tcPr>
            <w:tcW w:w="9062" w:type="dxa"/>
            <w:gridSpan w:val="4"/>
          </w:tcPr>
          <w:p w14:paraId="7B2AFF4E" w14:textId="67FF5D3E" w:rsidR="00217841" w:rsidRDefault="00217841">
            <w:pPr>
              <w:rPr>
                <w:b/>
                <w:sz w:val="20"/>
                <w:szCs w:val="20"/>
                <w:lang w:val="en-GB"/>
              </w:rPr>
            </w:pPr>
            <w:r>
              <w:rPr>
                <w:b/>
                <w:sz w:val="20"/>
                <w:szCs w:val="20"/>
                <w:lang w:val="en-GB"/>
              </w:rPr>
              <w:t xml:space="preserve">10.00-10.10 </w:t>
            </w:r>
            <w:r w:rsidRPr="00E22F61">
              <w:rPr>
                <w:b/>
                <w:sz w:val="20"/>
                <w:szCs w:val="20"/>
                <w:lang w:val="en-GB"/>
              </w:rPr>
              <w:t>Opening of the seminar</w:t>
            </w:r>
          </w:p>
          <w:p w14:paraId="6D747322" w14:textId="295CA1AA" w:rsidR="009369C9" w:rsidRPr="00217841" w:rsidRDefault="00D90ADF">
            <w:pPr>
              <w:rPr>
                <w:sz w:val="20"/>
                <w:szCs w:val="20"/>
                <w:lang w:val="en-GB"/>
              </w:rPr>
            </w:pPr>
            <w:r w:rsidRPr="00217841">
              <w:rPr>
                <w:sz w:val="20"/>
                <w:szCs w:val="20"/>
                <w:lang w:val="en-GB"/>
              </w:rPr>
              <w:t xml:space="preserve">Prof. </w:t>
            </w:r>
            <w:r w:rsidR="00A92D90" w:rsidRPr="00217841">
              <w:rPr>
                <w:sz w:val="20"/>
                <w:szCs w:val="20"/>
                <w:lang w:val="en-GB"/>
              </w:rPr>
              <w:t xml:space="preserve">Ida Musiałkowska, </w:t>
            </w:r>
            <w:r w:rsidR="00217841">
              <w:rPr>
                <w:sz w:val="20"/>
                <w:szCs w:val="20"/>
                <w:lang w:val="en-GB"/>
              </w:rPr>
              <w:t xml:space="preserve">Coordinator of the </w:t>
            </w:r>
            <w:proofErr w:type="spellStart"/>
            <w:r w:rsidR="00217841">
              <w:rPr>
                <w:sz w:val="20"/>
                <w:szCs w:val="20"/>
                <w:lang w:val="en-GB"/>
              </w:rPr>
              <w:t>JMCoE</w:t>
            </w:r>
            <w:proofErr w:type="spellEnd"/>
            <w:r w:rsidR="00217841">
              <w:rPr>
                <w:sz w:val="20"/>
                <w:szCs w:val="20"/>
                <w:lang w:val="en-GB"/>
              </w:rPr>
              <w:t xml:space="preserve"> “Resilient and transforming Europe” project</w:t>
            </w:r>
            <w:r w:rsidR="00EC7EEF">
              <w:rPr>
                <w:sz w:val="20"/>
                <w:szCs w:val="20"/>
                <w:lang w:val="en-GB"/>
              </w:rPr>
              <w:t xml:space="preserve">, </w:t>
            </w:r>
            <w:r w:rsidR="00217841" w:rsidRPr="00217841">
              <w:rPr>
                <w:sz w:val="20"/>
                <w:szCs w:val="20"/>
                <w:lang w:val="en-GB"/>
              </w:rPr>
              <w:t>PUEB</w:t>
            </w:r>
          </w:p>
          <w:p w14:paraId="209A8695" w14:textId="5A809689" w:rsidR="00A92D90" w:rsidRPr="00217841" w:rsidRDefault="00217841">
            <w:pPr>
              <w:rPr>
                <w:sz w:val="20"/>
                <w:szCs w:val="20"/>
                <w:lang w:val="en-GB"/>
              </w:rPr>
            </w:pPr>
            <w:r w:rsidRPr="00217841">
              <w:rPr>
                <w:sz w:val="20"/>
                <w:szCs w:val="20"/>
                <w:lang w:val="en-GB"/>
              </w:rPr>
              <w:t xml:space="preserve">Prof. </w:t>
            </w:r>
            <w:r w:rsidR="009369C9" w:rsidRPr="00217841">
              <w:rPr>
                <w:sz w:val="20"/>
                <w:szCs w:val="20"/>
                <w:lang w:val="en-GB"/>
              </w:rPr>
              <w:t>Maciej Żukowski, Rector</w:t>
            </w:r>
            <w:r w:rsidR="00A92D90" w:rsidRPr="00217841">
              <w:rPr>
                <w:sz w:val="20"/>
                <w:szCs w:val="20"/>
                <w:lang w:val="en-GB"/>
              </w:rPr>
              <w:t xml:space="preserve"> </w:t>
            </w:r>
            <w:r w:rsidR="009369C9" w:rsidRPr="00217841">
              <w:rPr>
                <w:sz w:val="20"/>
                <w:szCs w:val="20"/>
                <w:lang w:val="en-GB"/>
              </w:rPr>
              <w:t xml:space="preserve">of the </w:t>
            </w:r>
            <w:r w:rsidRPr="00217841">
              <w:rPr>
                <w:sz w:val="20"/>
                <w:szCs w:val="20"/>
                <w:lang w:val="en-GB"/>
              </w:rPr>
              <w:t>PUEB</w:t>
            </w:r>
          </w:p>
          <w:p w14:paraId="5395DC8E" w14:textId="59900A36" w:rsidR="00A92D90" w:rsidRPr="00217841" w:rsidRDefault="00217841">
            <w:pPr>
              <w:rPr>
                <w:sz w:val="20"/>
                <w:szCs w:val="20"/>
                <w:lang w:val="en-GB"/>
              </w:rPr>
            </w:pPr>
            <w:r w:rsidRPr="00217841">
              <w:rPr>
                <w:sz w:val="20"/>
                <w:szCs w:val="20"/>
                <w:lang w:val="en-GB"/>
              </w:rPr>
              <w:t xml:space="preserve">Prof. </w:t>
            </w:r>
            <w:r w:rsidR="00D90ADF" w:rsidRPr="00217841">
              <w:rPr>
                <w:sz w:val="20"/>
                <w:szCs w:val="20"/>
                <w:lang w:val="en-GB"/>
              </w:rPr>
              <w:t>Ewa Mińska-Struzik, Director of the Institute of International Business and Economics, PUE</w:t>
            </w:r>
            <w:r>
              <w:rPr>
                <w:sz w:val="20"/>
                <w:szCs w:val="20"/>
                <w:lang w:val="en-GB"/>
              </w:rPr>
              <w:t>B</w:t>
            </w:r>
          </w:p>
        </w:tc>
      </w:tr>
      <w:tr w:rsidR="00217841" w:rsidRPr="00FA334E" w14:paraId="06D02727" w14:textId="77777777" w:rsidTr="003B165D">
        <w:tc>
          <w:tcPr>
            <w:tcW w:w="9062" w:type="dxa"/>
            <w:gridSpan w:val="4"/>
          </w:tcPr>
          <w:p w14:paraId="751ACC31" w14:textId="51333197" w:rsidR="00217841" w:rsidRPr="00E22F61" w:rsidRDefault="00217841" w:rsidP="00217841">
            <w:pPr>
              <w:rPr>
                <w:b/>
                <w:sz w:val="20"/>
                <w:szCs w:val="20"/>
                <w:lang w:val="en-GB"/>
              </w:rPr>
            </w:pPr>
            <w:r w:rsidRPr="00E22F61">
              <w:rPr>
                <w:b/>
                <w:sz w:val="20"/>
                <w:szCs w:val="20"/>
                <w:lang w:val="en-GB"/>
              </w:rPr>
              <w:t>10.</w:t>
            </w:r>
            <w:r>
              <w:rPr>
                <w:b/>
                <w:sz w:val="20"/>
                <w:szCs w:val="20"/>
                <w:lang w:val="en-GB"/>
              </w:rPr>
              <w:t>10</w:t>
            </w:r>
            <w:r w:rsidRPr="00E22F61">
              <w:rPr>
                <w:b/>
                <w:sz w:val="20"/>
                <w:szCs w:val="20"/>
                <w:lang w:val="en-GB"/>
              </w:rPr>
              <w:t>-11.30 I session</w:t>
            </w:r>
          </w:p>
          <w:p w14:paraId="7DB43E8A" w14:textId="2E123CD2" w:rsidR="00217841" w:rsidRPr="00E13ACB" w:rsidRDefault="00217841">
            <w:pPr>
              <w:rPr>
                <w:sz w:val="20"/>
                <w:szCs w:val="20"/>
                <w:lang w:val="en-GB"/>
              </w:rPr>
            </w:pPr>
            <w:r w:rsidRPr="00E13ACB">
              <w:rPr>
                <w:sz w:val="20"/>
                <w:szCs w:val="20"/>
                <w:lang w:val="en-GB"/>
              </w:rPr>
              <w:t>Chair of the session: Prof. Krzysztof Walczak, PUEB</w:t>
            </w:r>
          </w:p>
        </w:tc>
      </w:tr>
      <w:tr w:rsidR="00A92D90" w:rsidRPr="00E22F61" w14:paraId="153A8524" w14:textId="77777777" w:rsidTr="00E13ACB">
        <w:tc>
          <w:tcPr>
            <w:tcW w:w="1271" w:type="dxa"/>
          </w:tcPr>
          <w:p w14:paraId="717BA960" w14:textId="77777777" w:rsidR="00A92D90" w:rsidRPr="00E22F61" w:rsidRDefault="00A92D90">
            <w:pPr>
              <w:rPr>
                <w:b/>
                <w:sz w:val="20"/>
                <w:szCs w:val="20"/>
                <w:lang w:val="en-GB"/>
              </w:rPr>
            </w:pPr>
          </w:p>
        </w:tc>
        <w:tc>
          <w:tcPr>
            <w:tcW w:w="1985" w:type="dxa"/>
            <w:shd w:val="clear" w:color="auto" w:fill="D9D9D9" w:themeFill="background1" w:themeFillShade="D9"/>
          </w:tcPr>
          <w:p w14:paraId="301DC71B" w14:textId="77777777" w:rsidR="00A92D90" w:rsidRPr="00740AD5" w:rsidRDefault="00A92D90" w:rsidP="00E13ACB">
            <w:pPr>
              <w:jc w:val="center"/>
              <w:rPr>
                <w:sz w:val="20"/>
                <w:szCs w:val="20"/>
                <w:lang w:val="en-GB"/>
              </w:rPr>
            </w:pPr>
            <w:r w:rsidRPr="00740AD5">
              <w:rPr>
                <w:sz w:val="20"/>
                <w:szCs w:val="20"/>
                <w:lang w:val="en-GB"/>
              </w:rPr>
              <w:t>Name of the speaker</w:t>
            </w:r>
          </w:p>
        </w:tc>
        <w:tc>
          <w:tcPr>
            <w:tcW w:w="2551" w:type="dxa"/>
            <w:shd w:val="clear" w:color="auto" w:fill="D9D9D9" w:themeFill="background1" w:themeFillShade="D9"/>
          </w:tcPr>
          <w:p w14:paraId="016C1AC6" w14:textId="77777777" w:rsidR="00A92D90" w:rsidRPr="00740AD5" w:rsidRDefault="00A92D90" w:rsidP="00E13ACB">
            <w:pPr>
              <w:jc w:val="center"/>
              <w:rPr>
                <w:sz w:val="20"/>
                <w:szCs w:val="20"/>
                <w:lang w:val="en-GB"/>
              </w:rPr>
            </w:pPr>
            <w:r w:rsidRPr="00740AD5">
              <w:rPr>
                <w:sz w:val="20"/>
                <w:szCs w:val="20"/>
                <w:lang w:val="en-GB"/>
              </w:rPr>
              <w:t>Affiliation</w:t>
            </w:r>
          </w:p>
        </w:tc>
        <w:tc>
          <w:tcPr>
            <w:tcW w:w="3255" w:type="dxa"/>
            <w:shd w:val="clear" w:color="auto" w:fill="D9D9D9" w:themeFill="background1" w:themeFillShade="D9"/>
          </w:tcPr>
          <w:p w14:paraId="2B4BC7BE" w14:textId="667FD79A" w:rsidR="00A92D90" w:rsidRPr="00740AD5" w:rsidRDefault="00D90ADF" w:rsidP="00E13ACB">
            <w:pPr>
              <w:jc w:val="center"/>
              <w:rPr>
                <w:sz w:val="20"/>
                <w:szCs w:val="20"/>
                <w:lang w:val="en-GB"/>
              </w:rPr>
            </w:pPr>
            <w:r w:rsidRPr="00740AD5">
              <w:rPr>
                <w:sz w:val="20"/>
                <w:szCs w:val="20"/>
                <w:lang w:val="en-GB"/>
              </w:rPr>
              <w:t>Title of the speech</w:t>
            </w:r>
          </w:p>
        </w:tc>
      </w:tr>
      <w:tr w:rsidR="00A92D90" w:rsidRPr="00FA334E" w14:paraId="211C86C5" w14:textId="77777777" w:rsidTr="00E13ACB">
        <w:tc>
          <w:tcPr>
            <w:tcW w:w="1271" w:type="dxa"/>
            <w:vAlign w:val="center"/>
          </w:tcPr>
          <w:p w14:paraId="01126F24" w14:textId="77777777" w:rsidR="00A92D90" w:rsidRPr="00E22F61" w:rsidRDefault="00E2786A" w:rsidP="00E13ACB">
            <w:pPr>
              <w:jc w:val="center"/>
              <w:rPr>
                <w:sz w:val="20"/>
                <w:szCs w:val="20"/>
                <w:lang w:val="en-GB"/>
              </w:rPr>
            </w:pPr>
            <w:r w:rsidRPr="00E22F61">
              <w:rPr>
                <w:sz w:val="20"/>
                <w:szCs w:val="20"/>
                <w:lang w:val="en-GB"/>
              </w:rPr>
              <w:t>10.10-10.30</w:t>
            </w:r>
          </w:p>
        </w:tc>
        <w:tc>
          <w:tcPr>
            <w:tcW w:w="1985" w:type="dxa"/>
            <w:vAlign w:val="center"/>
          </w:tcPr>
          <w:p w14:paraId="3B3E64A0" w14:textId="77777777" w:rsidR="00A92D90" w:rsidRPr="00E22F61" w:rsidRDefault="00A92D90" w:rsidP="00E13ACB">
            <w:pPr>
              <w:jc w:val="center"/>
              <w:rPr>
                <w:sz w:val="20"/>
                <w:szCs w:val="20"/>
                <w:lang w:val="en-GB"/>
              </w:rPr>
            </w:pPr>
            <w:r w:rsidRPr="00E22F61">
              <w:rPr>
                <w:sz w:val="20"/>
                <w:szCs w:val="20"/>
                <w:lang w:val="en-GB"/>
              </w:rPr>
              <w:t>Prof. Wojciech Cellary</w:t>
            </w:r>
          </w:p>
        </w:tc>
        <w:tc>
          <w:tcPr>
            <w:tcW w:w="2551" w:type="dxa"/>
            <w:vAlign w:val="center"/>
          </w:tcPr>
          <w:p w14:paraId="63A71438" w14:textId="77777777" w:rsidR="00A92D90" w:rsidRPr="00E22F61" w:rsidRDefault="00A92D90" w:rsidP="00E13ACB">
            <w:pPr>
              <w:jc w:val="center"/>
              <w:rPr>
                <w:sz w:val="20"/>
                <w:szCs w:val="20"/>
                <w:lang w:val="en-GB"/>
              </w:rPr>
            </w:pPr>
            <w:r w:rsidRPr="00E22F61">
              <w:rPr>
                <w:sz w:val="20"/>
                <w:szCs w:val="20"/>
                <w:lang w:val="en-GB"/>
              </w:rPr>
              <w:t xml:space="preserve">WSB </w:t>
            </w:r>
            <w:proofErr w:type="spellStart"/>
            <w:r w:rsidRPr="00E22F61">
              <w:rPr>
                <w:sz w:val="20"/>
                <w:szCs w:val="20"/>
                <w:lang w:val="en-GB"/>
              </w:rPr>
              <w:t>Merito</w:t>
            </w:r>
            <w:proofErr w:type="spellEnd"/>
            <w:r w:rsidRPr="00E22F61">
              <w:rPr>
                <w:sz w:val="20"/>
                <w:szCs w:val="20"/>
                <w:lang w:val="en-GB"/>
              </w:rPr>
              <w:t xml:space="preserve"> University, Poznań</w:t>
            </w:r>
          </w:p>
        </w:tc>
        <w:tc>
          <w:tcPr>
            <w:tcW w:w="3255" w:type="dxa"/>
            <w:vAlign w:val="center"/>
          </w:tcPr>
          <w:p w14:paraId="1BBF9DFC" w14:textId="0881B660" w:rsidR="00A92D90" w:rsidRPr="00E22F61" w:rsidRDefault="009369C9" w:rsidP="00E13ACB">
            <w:pPr>
              <w:jc w:val="center"/>
              <w:rPr>
                <w:sz w:val="20"/>
                <w:szCs w:val="20"/>
                <w:lang w:val="en-GB"/>
              </w:rPr>
            </w:pPr>
            <w:r w:rsidRPr="009369C9">
              <w:rPr>
                <w:sz w:val="20"/>
                <w:szCs w:val="20"/>
                <w:lang w:val="en-GB"/>
              </w:rPr>
              <w:t xml:space="preserve">Digital </w:t>
            </w:r>
            <w:r w:rsidR="00FA334E">
              <w:rPr>
                <w:sz w:val="20"/>
                <w:szCs w:val="20"/>
                <w:lang w:val="en-GB"/>
              </w:rPr>
              <w:t>t</w:t>
            </w:r>
            <w:r w:rsidRPr="009369C9">
              <w:rPr>
                <w:sz w:val="20"/>
                <w:szCs w:val="20"/>
                <w:lang w:val="en-GB"/>
              </w:rPr>
              <w:t xml:space="preserve">ransformation with AI. A </w:t>
            </w:r>
            <w:r w:rsidR="00FA334E">
              <w:rPr>
                <w:sz w:val="20"/>
                <w:szCs w:val="20"/>
                <w:lang w:val="en-GB"/>
              </w:rPr>
              <w:t>c</w:t>
            </w:r>
            <w:r w:rsidRPr="009369C9">
              <w:rPr>
                <w:sz w:val="20"/>
                <w:szCs w:val="20"/>
                <w:lang w:val="en-GB"/>
              </w:rPr>
              <w:t xml:space="preserve">hallenge for </w:t>
            </w:r>
            <w:r w:rsidR="00FA334E">
              <w:rPr>
                <w:sz w:val="20"/>
                <w:szCs w:val="20"/>
                <w:lang w:val="en-GB"/>
              </w:rPr>
              <w:t>e</w:t>
            </w:r>
            <w:r w:rsidRPr="009369C9">
              <w:rPr>
                <w:sz w:val="20"/>
                <w:szCs w:val="20"/>
                <w:lang w:val="en-GB"/>
              </w:rPr>
              <w:t>ducation</w:t>
            </w:r>
          </w:p>
        </w:tc>
      </w:tr>
      <w:tr w:rsidR="00A92D90" w:rsidRPr="00FA334E" w14:paraId="70CA6823" w14:textId="77777777" w:rsidTr="00E13ACB">
        <w:tc>
          <w:tcPr>
            <w:tcW w:w="1271" w:type="dxa"/>
            <w:vAlign w:val="center"/>
          </w:tcPr>
          <w:p w14:paraId="5E6AEC36" w14:textId="77777777" w:rsidR="00A92D90" w:rsidRPr="00E22F61" w:rsidRDefault="00E2786A" w:rsidP="00E13ACB">
            <w:pPr>
              <w:jc w:val="center"/>
              <w:rPr>
                <w:sz w:val="20"/>
                <w:szCs w:val="20"/>
                <w:lang w:val="en-GB"/>
              </w:rPr>
            </w:pPr>
            <w:r w:rsidRPr="00E22F61">
              <w:rPr>
                <w:sz w:val="20"/>
                <w:szCs w:val="20"/>
                <w:lang w:val="en-GB"/>
              </w:rPr>
              <w:t>10.30-10.50</w:t>
            </w:r>
          </w:p>
        </w:tc>
        <w:tc>
          <w:tcPr>
            <w:tcW w:w="1985" w:type="dxa"/>
            <w:vAlign w:val="center"/>
          </w:tcPr>
          <w:p w14:paraId="46F4B9BF" w14:textId="47E6D12E" w:rsidR="00A92D90" w:rsidRPr="00E22F61" w:rsidRDefault="00A92D90" w:rsidP="00E13ACB">
            <w:pPr>
              <w:jc w:val="center"/>
              <w:rPr>
                <w:sz w:val="20"/>
                <w:szCs w:val="20"/>
                <w:lang w:val="en-GB"/>
              </w:rPr>
            </w:pPr>
            <w:proofErr w:type="spellStart"/>
            <w:r w:rsidRPr="00E22F61">
              <w:rPr>
                <w:sz w:val="20"/>
                <w:szCs w:val="20"/>
                <w:lang w:val="en-GB"/>
              </w:rPr>
              <w:t>Dr</w:t>
            </w:r>
            <w:r w:rsidR="00FA334E">
              <w:rPr>
                <w:sz w:val="20"/>
                <w:szCs w:val="20"/>
                <w:lang w:val="en-GB"/>
              </w:rPr>
              <w:t>.</w:t>
            </w:r>
            <w:proofErr w:type="spellEnd"/>
            <w:r w:rsidRPr="00E22F61">
              <w:rPr>
                <w:sz w:val="20"/>
                <w:szCs w:val="20"/>
                <w:lang w:val="en-GB"/>
              </w:rPr>
              <w:t xml:space="preserve"> </w:t>
            </w:r>
            <w:r w:rsidR="00FA334E">
              <w:rPr>
                <w:sz w:val="20"/>
                <w:szCs w:val="20"/>
                <w:lang w:val="en-GB"/>
              </w:rPr>
              <w:t>Eng</w:t>
            </w:r>
            <w:r w:rsidRPr="00E22F61">
              <w:rPr>
                <w:sz w:val="20"/>
                <w:szCs w:val="20"/>
                <w:lang w:val="en-GB"/>
              </w:rPr>
              <w:t>. Jakub Jasiczak</w:t>
            </w:r>
          </w:p>
        </w:tc>
        <w:tc>
          <w:tcPr>
            <w:tcW w:w="2551" w:type="dxa"/>
            <w:vAlign w:val="center"/>
          </w:tcPr>
          <w:p w14:paraId="35869DF8" w14:textId="016F50A6" w:rsidR="00A92D90" w:rsidRPr="00E22F61" w:rsidRDefault="00C23088" w:rsidP="00E13ACB">
            <w:pPr>
              <w:jc w:val="center"/>
              <w:rPr>
                <w:sz w:val="20"/>
                <w:szCs w:val="20"/>
                <w:lang w:val="en-GB"/>
              </w:rPr>
            </w:pPr>
            <w:r w:rsidRPr="00C23088">
              <w:rPr>
                <w:sz w:val="20"/>
                <w:szCs w:val="20"/>
                <w:lang w:val="en-GB"/>
              </w:rPr>
              <w:t>Polish Association of University Knowledge Transfer Companies</w:t>
            </w:r>
          </w:p>
        </w:tc>
        <w:tc>
          <w:tcPr>
            <w:tcW w:w="3255" w:type="dxa"/>
            <w:vAlign w:val="center"/>
          </w:tcPr>
          <w:p w14:paraId="0866F4CF" w14:textId="3F055D56" w:rsidR="00A92D90" w:rsidRPr="009369C9" w:rsidRDefault="0009150D" w:rsidP="00E13ACB">
            <w:pPr>
              <w:jc w:val="center"/>
              <w:rPr>
                <w:sz w:val="20"/>
                <w:szCs w:val="20"/>
                <w:highlight w:val="yellow"/>
                <w:lang w:val="en-GB"/>
              </w:rPr>
            </w:pPr>
            <w:r w:rsidRPr="0009150D">
              <w:rPr>
                <w:sz w:val="20"/>
                <w:szCs w:val="20"/>
                <w:lang w:val="en-GB"/>
              </w:rPr>
              <w:t>Deep ESG and the green revolution - do companies want it and can academia help?</w:t>
            </w:r>
          </w:p>
        </w:tc>
      </w:tr>
      <w:tr w:rsidR="00E2786A" w:rsidRPr="00E22F61" w14:paraId="19BE01E0" w14:textId="77777777" w:rsidTr="00E13ACB">
        <w:tc>
          <w:tcPr>
            <w:tcW w:w="1271" w:type="dxa"/>
          </w:tcPr>
          <w:p w14:paraId="2009F6BC" w14:textId="77777777" w:rsidR="00E2786A" w:rsidRPr="00E22F61" w:rsidRDefault="00E2786A" w:rsidP="00A92D90">
            <w:pPr>
              <w:rPr>
                <w:sz w:val="20"/>
                <w:szCs w:val="20"/>
                <w:lang w:val="en-GB"/>
              </w:rPr>
            </w:pPr>
            <w:r w:rsidRPr="00E22F61">
              <w:rPr>
                <w:sz w:val="20"/>
                <w:szCs w:val="20"/>
                <w:lang w:val="en-GB"/>
              </w:rPr>
              <w:t>10.50-11.30</w:t>
            </w:r>
          </w:p>
        </w:tc>
        <w:tc>
          <w:tcPr>
            <w:tcW w:w="7791" w:type="dxa"/>
            <w:gridSpan w:val="3"/>
          </w:tcPr>
          <w:p w14:paraId="394B530E" w14:textId="77777777" w:rsidR="00E2786A" w:rsidRPr="00E22F61" w:rsidRDefault="00E2786A" w:rsidP="00217841">
            <w:pPr>
              <w:jc w:val="both"/>
              <w:rPr>
                <w:sz w:val="20"/>
                <w:szCs w:val="20"/>
                <w:lang w:val="en-GB"/>
              </w:rPr>
            </w:pPr>
            <w:r w:rsidRPr="00E22F61">
              <w:rPr>
                <w:sz w:val="20"/>
                <w:szCs w:val="20"/>
                <w:lang w:val="en-GB"/>
              </w:rPr>
              <w:t>Discussion</w:t>
            </w:r>
          </w:p>
        </w:tc>
      </w:tr>
      <w:tr w:rsidR="00A92D90" w:rsidRPr="00E22F61" w14:paraId="17C31A0E" w14:textId="77777777" w:rsidTr="00A92D90">
        <w:tc>
          <w:tcPr>
            <w:tcW w:w="9062" w:type="dxa"/>
            <w:gridSpan w:val="4"/>
            <w:shd w:val="clear" w:color="auto" w:fill="A6A6A6" w:themeFill="background1" w:themeFillShade="A6"/>
          </w:tcPr>
          <w:p w14:paraId="295AB449" w14:textId="1728EB03" w:rsidR="00A92D90" w:rsidRPr="00740AD5" w:rsidRDefault="00A92D90" w:rsidP="00217841">
            <w:pPr>
              <w:jc w:val="both"/>
              <w:rPr>
                <w:b/>
                <w:i/>
                <w:sz w:val="20"/>
                <w:szCs w:val="20"/>
                <w:lang w:val="en-GB"/>
              </w:rPr>
            </w:pPr>
            <w:r w:rsidRPr="00740AD5">
              <w:rPr>
                <w:b/>
                <w:i/>
                <w:sz w:val="20"/>
                <w:szCs w:val="20"/>
                <w:lang w:val="en-GB"/>
              </w:rPr>
              <w:t>11.30-11.45</w:t>
            </w:r>
            <w:r w:rsidR="00740AD5" w:rsidRPr="00740AD5">
              <w:rPr>
                <w:b/>
                <w:i/>
                <w:sz w:val="20"/>
                <w:szCs w:val="20"/>
                <w:lang w:val="en-GB"/>
              </w:rPr>
              <w:t xml:space="preserve"> Coffee break</w:t>
            </w:r>
          </w:p>
        </w:tc>
      </w:tr>
      <w:tr w:rsidR="00A92D90" w:rsidRPr="00FA334E" w14:paraId="51401C72" w14:textId="77777777" w:rsidTr="00C6352E">
        <w:tc>
          <w:tcPr>
            <w:tcW w:w="9062" w:type="dxa"/>
            <w:gridSpan w:val="4"/>
          </w:tcPr>
          <w:p w14:paraId="32CB5424" w14:textId="1F68B81B" w:rsidR="00A92D90" w:rsidRPr="00E22F61" w:rsidRDefault="00A92D90" w:rsidP="00217841">
            <w:pPr>
              <w:jc w:val="both"/>
              <w:rPr>
                <w:b/>
                <w:sz w:val="20"/>
                <w:szCs w:val="20"/>
                <w:lang w:val="en-GB"/>
              </w:rPr>
            </w:pPr>
            <w:r w:rsidRPr="00E22F61">
              <w:rPr>
                <w:b/>
                <w:sz w:val="20"/>
                <w:szCs w:val="20"/>
                <w:lang w:val="en-GB"/>
              </w:rPr>
              <w:t>11.45-13.</w:t>
            </w:r>
            <w:r w:rsidR="00740AD5">
              <w:rPr>
                <w:b/>
                <w:sz w:val="20"/>
                <w:szCs w:val="20"/>
                <w:lang w:val="en-GB"/>
              </w:rPr>
              <w:t>00</w:t>
            </w:r>
            <w:r w:rsidR="00217841" w:rsidRPr="00E22F61">
              <w:rPr>
                <w:b/>
                <w:sz w:val="20"/>
                <w:szCs w:val="20"/>
                <w:lang w:val="en-GB"/>
              </w:rPr>
              <w:t xml:space="preserve"> II session</w:t>
            </w:r>
          </w:p>
          <w:p w14:paraId="3D67C6BD" w14:textId="20B0E533" w:rsidR="00A92D90" w:rsidRPr="00E13ACB" w:rsidRDefault="00A92D90" w:rsidP="00217841">
            <w:pPr>
              <w:jc w:val="both"/>
              <w:rPr>
                <w:sz w:val="20"/>
                <w:szCs w:val="20"/>
                <w:lang w:val="en-GB"/>
              </w:rPr>
            </w:pPr>
            <w:r w:rsidRPr="00E13ACB">
              <w:rPr>
                <w:sz w:val="20"/>
                <w:szCs w:val="20"/>
                <w:lang w:val="en-GB"/>
              </w:rPr>
              <w:t xml:space="preserve">Chair of the session: </w:t>
            </w:r>
            <w:proofErr w:type="spellStart"/>
            <w:r w:rsidR="00D90ADF" w:rsidRPr="00E13ACB">
              <w:rPr>
                <w:sz w:val="20"/>
                <w:szCs w:val="20"/>
                <w:lang w:val="en-GB"/>
              </w:rPr>
              <w:t>Dr.</w:t>
            </w:r>
            <w:proofErr w:type="spellEnd"/>
            <w:r w:rsidR="00D90ADF" w:rsidRPr="00E13ACB">
              <w:rPr>
                <w:sz w:val="20"/>
                <w:szCs w:val="20"/>
                <w:lang w:val="en-GB"/>
              </w:rPr>
              <w:t xml:space="preserve"> </w:t>
            </w:r>
            <w:r w:rsidR="00E2786A" w:rsidRPr="00E13ACB">
              <w:rPr>
                <w:sz w:val="20"/>
                <w:szCs w:val="20"/>
                <w:lang w:val="en-GB"/>
              </w:rPr>
              <w:t xml:space="preserve">Dorota Czyżewska-Misztal, PUEB </w:t>
            </w:r>
          </w:p>
        </w:tc>
      </w:tr>
      <w:tr w:rsidR="00E13ACB" w:rsidRPr="009369C9" w14:paraId="12BB4898" w14:textId="77777777" w:rsidTr="00E13ACB">
        <w:tc>
          <w:tcPr>
            <w:tcW w:w="1271" w:type="dxa"/>
            <w:vAlign w:val="center"/>
          </w:tcPr>
          <w:p w14:paraId="4A6E0BAC" w14:textId="77777777" w:rsidR="00E13ACB" w:rsidRPr="00E22F61" w:rsidRDefault="00E13ACB" w:rsidP="00E13ACB">
            <w:pPr>
              <w:jc w:val="center"/>
              <w:rPr>
                <w:sz w:val="20"/>
                <w:szCs w:val="20"/>
                <w:lang w:val="en-GB"/>
              </w:rPr>
            </w:pPr>
          </w:p>
        </w:tc>
        <w:tc>
          <w:tcPr>
            <w:tcW w:w="1985" w:type="dxa"/>
            <w:shd w:val="clear" w:color="auto" w:fill="D9D9D9" w:themeFill="background1" w:themeFillShade="D9"/>
          </w:tcPr>
          <w:p w14:paraId="7AC2B426" w14:textId="2D08A76C" w:rsidR="00E13ACB" w:rsidRPr="00E13ACB" w:rsidRDefault="00E13ACB" w:rsidP="00E13ACB">
            <w:pPr>
              <w:jc w:val="center"/>
              <w:rPr>
                <w:rFonts w:cs="Times New Roman"/>
                <w:sz w:val="20"/>
                <w:szCs w:val="20"/>
                <w:lang w:val="en-GB"/>
              </w:rPr>
            </w:pPr>
            <w:proofErr w:type="spellStart"/>
            <w:r w:rsidRPr="00E13ACB">
              <w:rPr>
                <w:rFonts w:cs="Times New Roman"/>
                <w:sz w:val="20"/>
                <w:szCs w:val="20"/>
              </w:rPr>
              <w:t>Name</w:t>
            </w:r>
            <w:proofErr w:type="spellEnd"/>
            <w:r w:rsidRPr="00E13ACB">
              <w:rPr>
                <w:rFonts w:cs="Times New Roman"/>
                <w:sz w:val="20"/>
                <w:szCs w:val="20"/>
              </w:rPr>
              <w:t xml:space="preserve"> of the speaker</w:t>
            </w:r>
          </w:p>
        </w:tc>
        <w:tc>
          <w:tcPr>
            <w:tcW w:w="2551" w:type="dxa"/>
            <w:shd w:val="clear" w:color="auto" w:fill="D9D9D9" w:themeFill="background1" w:themeFillShade="D9"/>
          </w:tcPr>
          <w:p w14:paraId="1A8620E0" w14:textId="400BB187" w:rsidR="00E13ACB" w:rsidRPr="00E13ACB" w:rsidRDefault="00E13ACB" w:rsidP="00E13ACB">
            <w:pPr>
              <w:jc w:val="center"/>
              <w:rPr>
                <w:rFonts w:cs="Times New Roman"/>
                <w:sz w:val="20"/>
                <w:szCs w:val="20"/>
                <w:lang w:val="en-GB"/>
              </w:rPr>
            </w:pPr>
            <w:proofErr w:type="spellStart"/>
            <w:r w:rsidRPr="00E13ACB">
              <w:rPr>
                <w:rFonts w:cs="Times New Roman"/>
                <w:sz w:val="20"/>
                <w:szCs w:val="20"/>
              </w:rPr>
              <w:t>Affiliation</w:t>
            </w:r>
            <w:proofErr w:type="spellEnd"/>
          </w:p>
        </w:tc>
        <w:tc>
          <w:tcPr>
            <w:tcW w:w="3255" w:type="dxa"/>
            <w:shd w:val="clear" w:color="auto" w:fill="D9D9D9" w:themeFill="background1" w:themeFillShade="D9"/>
          </w:tcPr>
          <w:p w14:paraId="26A7E9A6" w14:textId="1BA652F9" w:rsidR="00E13ACB" w:rsidRPr="00E13ACB" w:rsidRDefault="00E13ACB" w:rsidP="00E13ACB">
            <w:pPr>
              <w:jc w:val="center"/>
              <w:rPr>
                <w:rFonts w:cs="Times New Roman"/>
                <w:sz w:val="20"/>
                <w:szCs w:val="20"/>
                <w:lang w:val="en-GB"/>
              </w:rPr>
            </w:pPr>
            <w:proofErr w:type="spellStart"/>
            <w:r w:rsidRPr="00E13ACB">
              <w:rPr>
                <w:rFonts w:cs="Times New Roman"/>
                <w:sz w:val="20"/>
                <w:szCs w:val="20"/>
              </w:rPr>
              <w:t>Title</w:t>
            </w:r>
            <w:proofErr w:type="spellEnd"/>
            <w:r w:rsidRPr="00E13ACB">
              <w:rPr>
                <w:rFonts w:cs="Times New Roman"/>
                <w:sz w:val="20"/>
                <w:szCs w:val="20"/>
              </w:rPr>
              <w:t xml:space="preserve"> of the speech</w:t>
            </w:r>
          </w:p>
        </w:tc>
      </w:tr>
      <w:tr w:rsidR="00A92D90" w:rsidRPr="00FA334E" w14:paraId="51C5F6B1" w14:textId="77777777" w:rsidTr="00E13ACB">
        <w:tc>
          <w:tcPr>
            <w:tcW w:w="1271" w:type="dxa"/>
            <w:vAlign w:val="center"/>
          </w:tcPr>
          <w:p w14:paraId="23902ED0" w14:textId="77777777" w:rsidR="00A92D90" w:rsidRPr="00E22F61" w:rsidRDefault="00E2786A" w:rsidP="00E13ACB">
            <w:pPr>
              <w:jc w:val="center"/>
              <w:rPr>
                <w:sz w:val="20"/>
                <w:szCs w:val="20"/>
                <w:lang w:val="en-GB"/>
              </w:rPr>
            </w:pPr>
            <w:r w:rsidRPr="00E22F61">
              <w:rPr>
                <w:sz w:val="20"/>
                <w:szCs w:val="20"/>
                <w:lang w:val="en-GB"/>
              </w:rPr>
              <w:t>11.45-12.05</w:t>
            </w:r>
          </w:p>
        </w:tc>
        <w:tc>
          <w:tcPr>
            <w:tcW w:w="1985" w:type="dxa"/>
            <w:vAlign w:val="center"/>
          </w:tcPr>
          <w:p w14:paraId="6D609C87" w14:textId="77777777" w:rsidR="00A92D90" w:rsidRPr="00E22F61" w:rsidRDefault="00A92D90" w:rsidP="00E13ACB">
            <w:pPr>
              <w:jc w:val="center"/>
              <w:rPr>
                <w:sz w:val="20"/>
                <w:szCs w:val="20"/>
                <w:lang w:val="en-GB"/>
              </w:rPr>
            </w:pPr>
            <w:proofErr w:type="spellStart"/>
            <w:r w:rsidRPr="00E22F61">
              <w:rPr>
                <w:sz w:val="20"/>
                <w:szCs w:val="20"/>
                <w:lang w:val="en-GB"/>
              </w:rPr>
              <w:t>Dr.</w:t>
            </w:r>
            <w:proofErr w:type="spellEnd"/>
            <w:r w:rsidRPr="00E22F61">
              <w:rPr>
                <w:sz w:val="20"/>
                <w:szCs w:val="20"/>
                <w:lang w:val="en-GB"/>
              </w:rPr>
              <w:t xml:space="preserve"> Ilias Iakovidis</w:t>
            </w:r>
          </w:p>
        </w:tc>
        <w:tc>
          <w:tcPr>
            <w:tcW w:w="2551" w:type="dxa"/>
            <w:vAlign w:val="center"/>
          </w:tcPr>
          <w:p w14:paraId="2E61E560" w14:textId="7913AD76" w:rsidR="00A92D90" w:rsidRPr="00E22F61" w:rsidRDefault="00A92D90" w:rsidP="00E13ACB">
            <w:pPr>
              <w:jc w:val="center"/>
              <w:rPr>
                <w:sz w:val="20"/>
                <w:szCs w:val="20"/>
                <w:lang w:val="en-GB"/>
              </w:rPr>
            </w:pPr>
            <w:r w:rsidRPr="00E22F61">
              <w:rPr>
                <w:sz w:val="20"/>
                <w:szCs w:val="20"/>
                <w:lang w:val="en-GB"/>
              </w:rPr>
              <w:t>European Commission,</w:t>
            </w:r>
            <w:r w:rsidR="00D90ADF">
              <w:rPr>
                <w:sz w:val="20"/>
                <w:szCs w:val="20"/>
                <w:lang w:val="en-GB"/>
              </w:rPr>
              <w:t xml:space="preserve"> </w:t>
            </w:r>
            <w:r w:rsidRPr="00E22F61">
              <w:rPr>
                <w:sz w:val="20"/>
                <w:szCs w:val="20"/>
                <w:lang w:val="en-GB"/>
              </w:rPr>
              <w:t>Adviser (DG CONNECT)</w:t>
            </w:r>
          </w:p>
        </w:tc>
        <w:tc>
          <w:tcPr>
            <w:tcW w:w="3255" w:type="dxa"/>
            <w:vAlign w:val="center"/>
          </w:tcPr>
          <w:p w14:paraId="069308D1" w14:textId="367B3856" w:rsidR="00A92D90" w:rsidRPr="00E22F61" w:rsidRDefault="009369C9" w:rsidP="00E13ACB">
            <w:pPr>
              <w:jc w:val="center"/>
              <w:rPr>
                <w:sz w:val="20"/>
                <w:szCs w:val="20"/>
                <w:lang w:val="en-GB"/>
              </w:rPr>
            </w:pPr>
            <w:r w:rsidRPr="009369C9">
              <w:rPr>
                <w:sz w:val="20"/>
                <w:szCs w:val="20"/>
                <w:lang w:val="en-GB"/>
              </w:rPr>
              <w:t>Is digital transformation solution or pollution for green transition?</w:t>
            </w:r>
          </w:p>
        </w:tc>
      </w:tr>
      <w:tr w:rsidR="00740AD5" w:rsidRPr="009369C9" w14:paraId="01B57198" w14:textId="77777777" w:rsidTr="00E35004">
        <w:tc>
          <w:tcPr>
            <w:tcW w:w="1271" w:type="dxa"/>
            <w:vAlign w:val="center"/>
          </w:tcPr>
          <w:p w14:paraId="44A6F58D" w14:textId="49EE6FC2" w:rsidR="00740AD5" w:rsidRPr="00E22F61" w:rsidRDefault="00740AD5" w:rsidP="00E13ACB">
            <w:pPr>
              <w:jc w:val="center"/>
              <w:rPr>
                <w:sz w:val="20"/>
                <w:szCs w:val="20"/>
                <w:lang w:val="en-GB"/>
              </w:rPr>
            </w:pPr>
            <w:r>
              <w:rPr>
                <w:sz w:val="20"/>
                <w:szCs w:val="20"/>
                <w:lang w:val="en-GB"/>
              </w:rPr>
              <w:t>12.05-12.20</w:t>
            </w:r>
          </w:p>
        </w:tc>
        <w:tc>
          <w:tcPr>
            <w:tcW w:w="7791" w:type="dxa"/>
            <w:gridSpan w:val="3"/>
            <w:vAlign w:val="center"/>
          </w:tcPr>
          <w:p w14:paraId="267C181A" w14:textId="7D97ACCD" w:rsidR="00740AD5" w:rsidRPr="009369C9" w:rsidRDefault="00740AD5" w:rsidP="00740AD5">
            <w:pPr>
              <w:jc w:val="both"/>
              <w:rPr>
                <w:sz w:val="20"/>
                <w:szCs w:val="20"/>
                <w:lang w:val="en-GB"/>
              </w:rPr>
            </w:pPr>
            <w:r>
              <w:rPr>
                <w:sz w:val="20"/>
                <w:szCs w:val="20"/>
                <w:lang w:val="en-GB"/>
              </w:rPr>
              <w:t>Discussion – first round</w:t>
            </w:r>
          </w:p>
        </w:tc>
      </w:tr>
      <w:tr w:rsidR="00A92D90" w:rsidRPr="00FA334E" w14:paraId="007AC9C3" w14:textId="77777777" w:rsidTr="00E13ACB">
        <w:tc>
          <w:tcPr>
            <w:tcW w:w="1271" w:type="dxa"/>
            <w:vAlign w:val="center"/>
          </w:tcPr>
          <w:p w14:paraId="3295CA0E" w14:textId="56E5BF00" w:rsidR="00A92D90" w:rsidRPr="00E22F61" w:rsidRDefault="00E2786A" w:rsidP="00E13ACB">
            <w:pPr>
              <w:jc w:val="center"/>
              <w:rPr>
                <w:sz w:val="20"/>
                <w:szCs w:val="20"/>
                <w:lang w:val="en-GB"/>
              </w:rPr>
            </w:pPr>
            <w:r w:rsidRPr="00E22F61">
              <w:rPr>
                <w:sz w:val="20"/>
                <w:szCs w:val="20"/>
                <w:lang w:val="en-GB"/>
              </w:rPr>
              <w:t>12.</w:t>
            </w:r>
            <w:r w:rsidR="00740AD5">
              <w:rPr>
                <w:sz w:val="20"/>
                <w:szCs w:val="20"/>
                <w:lang w:val="en-GB"/>
              </w:rPr>
              <w:t>20</w:t>
            </w:r>
            <w:r w:rsidRPr="00E22F61">
              <w:rPr>
                <w:sz w:val="20"/>
                <w:szCs w:val="20"/>
                <w:lang w:val="en-GB"/>
              </w:rPr>
              <w:t>-12.</w:t>
            </w:r>
            <w:r w:rsidR="00740AD5">
              <w:rPr>
                <w:sz w:val="20"/>
                <w:szCs w:val="20"/>
                <w:lang w:val="en-GB"/>
              </w:rPr>
              <w:t>40</w:t>
            </w:r>
          </w:p>
        </w:tc>
        <w:tc>
          <w:tcPr>
            <w:tcW w:w="1985" w:type="dxa"/>
            <w:vAlign w:val="center"/>
          </w:tcPr>
          <w:p w14:paraId="37754830" w14:textId="77777777" w:rsidR="00A92D90" w:rsidRPr="00E22F61" w:rsidRDefault="00A92D90" w:rsidP="00E13ACB">
            <w:pPr>
              <w:jc w:val="center"/>
              <w:rPr>
                <w:sz w:val="20"/>
                <w:szCs w:val="20"/>
                <w:lang w:val="en-GB"/>
              </w:rPr>
            </w:pPr>
            <w:r w:rsidRPr="00E22F61">
              <w:rPr>
                <w:sz w:val="20"/>
                <w:szCs w:val="20"/>
                <w:lang w:val="en-GB"/>
              </w:rPr>
              <w:t xml:space="preserve">Prof. Małgorzata </w:t>
            </w:r>
            <w:proofErr w:type="spellStart"/>
            <w:r w:rsidRPr="00E22F61">
              <w:rPr>
                <w:sz w:val="20"/>
                <w:szCs w:val="20"/>
                <w:lang w:val="en-GB"/>
              </w:rPr>
              <w:t>Dziembała</w:t>
            </w:r>
            <w:proofErr w:type="spellEnd"/>
          </w:p>
        </w:tc>
        <w:tc>
          <w:tcPr>
            <w:tcW w:w="2551" w:type="dxa"/>
            <w:vAlign w:val="center"/>
          </w:tcPr>
          <w:p w14:paraId="295F2FC2" w14:textId="733E236A" w:rsidR="00A92D90" w:rsidRPr="00E22F61" w:rsidRDefault="00A92D90" w:rsidP="00E13ACB">
            <w:pPr>
              <w:jc w:val="center"/>
              <w:rPr>
                <w:sz w:val="20"/>
                <w:szCs w:val="20"/>
                <w:lang w:val="en-GB"/>
              </w:rPr>
            </w:pPr>
            <w:r w:rsidRPr="00E22F61">
              <w:rPr>
                <w:sz w:val="20"/>
                <w:szCs w:val="20"/>
                <w:lang w:val="en-GB"/>
              </w:rPr>
              <w:t>University of Economics in Katowice, Academic Sounding Board of the Cohesion for Transitions (C4T) Community of Practice</w:t>
            </w:r>
          </w:p>
        </w:tc>
        <w:tc>
          <w:tcPr>
            <w:tcW w:w="3255" w:type="dxa"/>
            <w:vAlign w:val="center"/>
          </w:tcPr>
          <w:p w14:paraId="43B7E28B" w14:textId="784AAF54" w:rsidR="00A92D90" w:rsidRPr="00E22F61" w:rsidRDefault="009369C9" w:rsidP="00E13ACB">
            <w:pPr>
              <w:jc w:val="center"/>
              <w:rPr>
                <w:sz w:val="20"/>
                <w:szCs w:val="20"/>
                <w:lang w:val="en-GB"/>
              </w:rPr>
            </w:pPr>
            <w:r w:rsidRPr="009369C9">
              <w:rPr>
                <w:sz w:val="20"/>
                <w:szCs w:val="20"/>
                <w:lang w:val="en-GB"/>
              </w:rPr>
              <w:t xml:space="preserve">Sustainability transitions from the perspective of </w:t>
            </w:r>
            <w:r w:rsidR="00740AD5">
              <w:rPr>
                <w:sz w:val="20"/>
                <w:szCs w:val="20"/>
                <w:lang w:val="en-GB"/>
              </w:rPr>
              <w:t xml:space="preserve">the </w:t>
            </w:r>
            <w:r w:rsidRPr="009369C9">
              <w:rPr>
                <w:sz w:val="20"/>
                <w:szCs w:val="20"/>
                <w:lang w:val="en-GB"/>
              </w:rPr>
              <w:t>EU cohesion policy and regions</w:t>
            </w:r>
          </w:p>
        </w:tc>
      </w:tr>
      <w:tr w:rsidR="00E2786A" w:rsidRPr="00E22F61" w14:paraId="2AA254A2" w14:textId="77777777" w:rsidTr="00E13ACB">
        <w:tc>
          <w:tcPr>
            <w:tcW w:w="1271" w:type="dxa"/>
          </w:tcPr>
          <w:p w14:paraId="019AFA76" w14:textId="7B2A1615" w:rsidR="00E2786A" w:rsidRPr="00E22F61" w:rsidRDefault="00E2786A" w:rsidP="00A92D90">
            <w:pPr>
              <w:rPr>
                <w:sz w:val="20"/>
                <w:szCs w:val="20"/>
                <w:lang w:val="en-GB"/>
              </w:rPr>
            </w:pPr>
            <w:r w:rsidRPr="00E22F61">
              <w:rPr>
                <w:sz w:val="20"/>
                <w:szCs w:val="20"/>
                <w:lang w:val="en-GB"/>
              </w:rPr>
              <w:t>12.</w:t>
            </w:r>
            <w:r w:rsidR="00740AD5">
              <w:rPr>
                <w:sz w:val="20"/>
                <w:szCs w:val="20"/>
                <w:lang w:val="en-GB"/>
              </w:rPr>
              <w:t>40</w:t>
            </w:r>
            <w:r w:rsidRPr="00E22F61">
              <w:rPr>
                <w:sz w:val="20"/>
                <w:szCs w:val="20"/>
                <w:lang w:val="en-GB"/>
              </w:rPr>
              <w:t>-13.00</w:t>
            </w:r>
          </w:p>
        </w:tc>
        <w:tc>
          <w:tcPr>
            <w:tcW w:w="7791" w:type="dxa"/>
            <w:gridSpan w:val="3"/>
          </w:tcPr>
          <w:p w14:paraId="31873252" w14:textId="7358B4CB" w:rsidR="00E2786A" w:rsidRPr="00E22F61" w:rsidRDefault="00E2786A" w:rsidP="00A92D90">
            <w:pPr>
              <w:rPr>
                <w:sz w:val="20"/>
                <w:szCs w:val="20"/>
                <w:lang w:val="en-GB"/>
              </w:rPr>
            </w:pPr>
            <w:r w:rsidRPr="00E22F61">
              <w:rPr>
                <w:sz w:val="20"/>
                <w:szCs w:val="20"/>
                <w:lang w:val="en-GB"/>
              </w:rPr>
              <w:t>Discussion</w:t>
            </w:r>
            <w:r w:rsidR="00740AD5">
              <w:rPr>
                <w:sz w:val="20"/>
                <w:szCs w:val="20"/>
                <w:lang w:val="en-GB"/>
              </w:rPr>
              <w:t xml:space="preserve"> – second round</w:t>
            </w:r>
          </w:p>
        </w:tc>
      </w:tr>
      <w:tr w:rsidR="00E2786A" w:rsidRPr="00E22F61" w14:paraId="359FD645" w14:textId="77777777" w:rsidTr="00E13ACB">
        <w:tc>
          <w:tcPr>
            <w:tcW w:w="1271" w:type="dxa"/>
          </w:tcPr>
          <w:p w14:paraId="30959811" w14:textId="77777777" w:rsidR="00E2786A" w:rsidRPr="00E22F61" w:rsidRDefault="00E2786A" w:rsidP="00A92D90">
            <w:pPr>
              <w:rPr>
                <w:sz w:val="20"/>
                <w:szCs w:val="20"/>
                <w:lang w:val="en-GB"/>
              </w:rPr>
            </w:pPr>
            <w:r w:rsidRPr="00E22F61">
              <w:rPr>
                <w:sz w:val="20"/>
                <w:szCs w:val="20"/>
                <w:lang w:val="en-GB"/>
              </w:rPr>
              <w:t>13.00-13.15</w:t>
            </w:r>
          </w:p>
        </w:tc>
        <w:tc>
          <w:tcPr>
            <w:tcW w:w="7791" w:type="dxa"/>
            <w:gridSpan w:val="3"/>
          </w:tcPr>
          <w:p w14:paraId="75F791C3" w14:textId="69097B53" w:rsidR="00E2786A" w:rsidRPr="00E22F61" w:rsidRDefault="00E2786A" w:rsidP="00A92D90">
            <w:pPr>
              <w:rPr>
                <w:sz w:val="20"/>
                <w:szCs w:val="20"/>
                <w:lang w:val="en-GB"/>
              </w:rPr>
            </w:pPr>
            <w:r w:rsidRPr="00E22F61">
              <w:rPr>
                <w:sz w:val="20"/>
                <w:szCs w:val="20"/>
                <w:lang w:val="en-GB"/>
              </w:rPr>
              <w:t>Closing remarks</w:t>
            </w:r>
            <w:r w:rsidR="001A585E" w:rsidRPr="00E22F61">
              <w:rPr>
                <w:sz w:val="20"/>
                <w:szCs w:val="20"/>
                <w:lang w:val="en-GB"/>
              </w:rPr>
              <w:t xml:space="preserve"> </w:t>
            </w:r>
          </w:p>
        </w:tc>
      </w:tr>
    </w:tbl>
    <w:p w14:paraId="69698701" w14:textId="072EC7A6" w:rsidR="00A97131" w:rsidRPr="00976D24" w:rsidRDefault="00A97131">
      <w:pPr>
        <w:rPr>
          <w:sz w:val="21"/>
          <w:szCs w:val="21"/>
          <w:lang w:val="en-GB"/>
        </w:rPr>
      </w:pPr>
    </w:p>
    <w:sectPr w:rsidR="00A97131" w:rsidRPr="00976D2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05E37" w14:textId="77777777" w:rsidR="00497451" w:rsidRDefault="00497451" w:rsidP="00C737C9">
      <w:pPr>
        <w:spacing w:after="0" w:line="240" w:lineRule="auto"/>
      </w:pPr>
      <w:r>
        <w:separator/>
      </w:r>
    </w:p>
  </w:endnote>
  <w:endnote w:type="continuationSeparator" w:id="0">
    <w:p w14:paraId="1E45D8C5" w14:textId="77777777" w:rsidR="00497451" w:rsidRDefault="00497451" w:rsidP="00C73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DBA1B" w14:textId="77777777" w:rsidR="00FF5E0E" w:rsidRDefault="00FF5E0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3AD6A" w14:textId="3424CB6F" w:rsidR="0083021A" w:rsidRDefault="00217841" w:rsidP="00A97131">
    <w:pPr>
      <w:pStyle w:val="Stopka"/>
      <w:jc w:val="both"/>
      <w:rPr>
        <w:sz w:val="20"/>
        <w:szCs w:val="20"/>
        <w:lang w:val="en-GB"/>
      </w:rPr>
    </w:pPr>
    <w:r>
      <w:rPr>
        <w:noProof/>
      </w:rPr>
      <w:drawing>
        <wp:anchor distT="0" distB="0" distL="114300" distR="114300" simplePos="0" relativeHeight="251661312" behindDoc="0" locked="0" layoutInCell="1" allowOverlap="1" wp14:anchorId="50EAFF8C" wp14:editId="594D87B8">
          <wp:simplePos x="0" y="0"/>
          <wp:positionH relativeFrom="margin">
            <wp:posOffset>2087245</wp:posOffset>
          </wp:positionH>
          <wp:positionV relativeFrom="paragraph">
            <wp:posOffset>135890</wp:posOffset>
          </wp:positionV>
          <wp:extent cx="1290955" cy="358140"/>
          <wp:effectExtent l="0" t="0" r="4445" b="3810"/>
          <wp:wrapThrough wrapText="bothSides">
            <wp:wrapPolygon edited="0">
              <wp:start x="0" y="0"/>
              <wp:lineTo x="0" y="20681"/>
              <wp:lineTo x="21356" y="20681"/>
              <wp:lineTo x="21356" y="0"/>
              <wp:lineTo x="0" y="0"/>
            </wp:wrapPolygon>
          </wp:wrapThrough>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47E" w:rsidRPr="00D0047E">
      <w:rPr>
        <w:noProof/>
        <w:sz w:val="20"/>
        <w:szCs w:val="20"/>
        <w:lang w:val="en-GB"/>
      </w:rPr>
      <mc:AlternateContent>
        <mc:Choice Requires="wps">
          <w:drawing>
            <wp:anchor distT="45720" distB="45720" distL="114300" distR="114300" simplePos="0" relativeHeight="251659264" behindDoc="0" locked="0" layoutInCell="1" allowOverlap="1" wp14:anchorId="28C68654" wp14:editId="27FFE78E">
              <wp:simplePos x="0" y="0"/>
              <wp:positionH relativeFrom="column">
                <wp:posOffset>3756025</wp:posOffset>
              </wp:positionH>
              <wp:positionV relativeFrom="paragraph">
                <wp:posOffset>-85090</wp:posOffset>
              </wp:positionV>
              <wp:extent cx="2697480" cy="975360"/>
              <wp:effectExtent l="0" t="0" r="762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975360"/>
                      </a:xfrm>
                      <a:prstGeom prst="rect">
                        <a:avLst/>
                      </a:prstGeom>
                      <a:solidFill>
                        <a:srgbClr val="FFFFFF"/>
                      </a:solidFill>
                      <a:ln w="9525">
                        <a:noFill/>
                        <a:miter lim="800000"/>
                        <a:headEnd/>
                        <a:tailEnd/>
                      </a:ln>
                    </wps:spPr>
                    <wps:txbx>
                      <w:txbxContent>
                        <w:p w14:paraId="6BE4EA09" w14:textId="259E0CEB" w:rsidR="00D0047E" w:rsidRPr="00D0047E" w:rsidRDefault="00D0047E" w:rsidP="00D0047E">
                          <w:pPr>
                            <w:pStyle w:val="Stopka"/>
                            <w:jc w:val="both"/>
                            <w:rPr>
                              <w:sz w:val="18"/>
                              <w:szCs w:val="18"/>
                              <w:lang w:val="en-GB"/>
                            </w:rPr>
                          </w:pPr>
                          <w:r w:rsidRPr="00D0047E">
                            <w:rPr>
                              <w:sz w:val="18"/>
                              <w:szCs w:val="18"/>
                              <w:lang w:val="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C68654" id="_x0000_t202" coordsize="21600,21600" o:spt="202" path="m,l,21600r21600,l21600,xe">
              <v:stroke joinstyle="miter"/>
              <v:path gradientshapeok="t" o:connecttype="rect"/>
            </v:shapetype>
            <v:shape id="Pole tekstowe 2" o:spid="_x0000_s1026" type="#_x0000_t202" style="position:absolute;left:0;text-align:left;margin-left:295.75pt;margin-top:-6.7pt;width:212.4pt;height:76.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" stroked="f">
              <v:textbox>
                <w:txbxContent>
                  <w:p w14:paraId="6BE4EA09" w14:textId="259E0CEB" w:rsidR="00D0047E" w:rsidRPr="00D0047E" w:rsidRDefault="00D0047E" w:rsidP="00D0047E">
                    <w:pPr>
                      <w:pStyle w:val="Stopka"/>
                      <w:jc w:val="both"/>
                      <w:rPr>
                        <w:sz w:val="18"/>
                        <w:szCs w:val="18"/>
                        <w:lang w:val="en-GB"/>
                      </w:rPr>
                    </w:pPr>
                    <w:r w:rsidRPr="00D0047E">
                      <w:rPr>
                        <w:sz w:val="18"/>
                        <w:szCs w:val="18"/>
                        <w:lang w:val="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w10:wrap type="square"/>
            </v:shape>
          </w:pict>
        </mc:Fallback>
      </mc:AlternateContent>
    </w:r>
    <w:r w:rsidR="009369C9">
      <w:rPr>
        <w:noProof/>
      </w:rPr>
      <w:t xml:space="preserve"> </w:t>
    </w:r>
    <w:r w:rsidR="00D90ADF" w:rsidRPr="009369C9">
      <w:rPr>
        <w:noProof/>
      </w:rPr>
      <w:drawing>
        <wp:inline distT="0" distB="0" distL="0" distR="0" wp14:anchorId="63E19CE5" wp14:editId="120E698E">
          <wp:extent cx="1036320" cy="609547"/>
          <wp:effectExtent l="0" t="0" r="0" b="63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42623" cy="613255"/>
                  </a:xfrm>
                  <a:prstGeom prst="rect">
                    <a:avLst/>
                  </a:prstGeom>
                </pic:spPr>
              </pic:pic>
            </a:graphicData>
          </a:graphic>
        </wp:inline>
      </w:drawing>
    </w:r>
    <w:r w:rsidR="009369C9">
      <w:rPr>
        <w:noProof/>
      </w:rPr>
      <w:t xml:space="preserve"> </w:t>
    </w:r>
    <w:r w:rsidR="00FF5E0E" w:rsidRPr="00FF5E0E">
      <w:rPr>
        <w:noProof/>
      </w:rPr>
      <w:drawing>
        <wp:inline distT="0" distB="0" distL="0" distR="0" wp14:anchorId="029D2883" wp14:editId="6227CC21">
          <wp:extent cx="489612" cy="502920"/>
          <wp:effectExtent l="0" t="0" r="571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9847" cy="523705"/>
                  </a:xfrm>
                  <a:prstGeom prst="rect">
                    <a:avLst/>
                  </a:prstGeom>
                  <a:noFill/>
                  <a:ln>
                    <a:noFill/>
                  </a:ln>
                </pic:spPr>
              </pic:pic>
            </a:graphicData>
          </a:graphic>
        </wp:inline>
      </w:drawing>
    </w:r>
    <w:r w:rsidR="009369C9">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9ABED" w14:textId="77777777" w:rsidR="00FF5E0E" w:rsidRDefault="00FF5E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2F4CA" w14:textId="77777777" w:rsidR="00497451" w:rsidRDefault="00497451" w:rsidP="00C737C9">
      <w:pPr>
        <w:spacing w:after="0" w:line="240" w:lineRule="auto"/>
      </w:pPr>
      <w:r>
        <w:separator/>
      </w:r>
    </w:p>
  </w:footnote>
  <w:footnote w:type="continuationSeparator" w:id="0">
    <w:p w14:paraId="3EBE8116" w14:textId="77777777" w:rsidR="00497451" w:rsidRDefault="00497451" w:rsidP="00C73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B252B" w14:textId="77777777" w:rsidR="00FF5E0E" w:rsidRDefault="00FF5E0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FFDF9" w14:textId="77777777" w:rsidR="00C737C9" w:rsidRDefault="00C737C9">
    <w:pPr>
      <w:pStyle w:val="Nagwek"/>
    </w:pPr>
    <w:r>
      <w:rPr>
        <w:noProof/>
      </w:rPr>
      <w:drawing>
        <wp:inline distT="0" distB="0" distL="0" distR="0" wp14:anchorId="55F8DBB5" wp14:editId="30E45AB5">
          <wp:extent cx="2225040" cy="902335"/>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5040" cy="902335"/>
                  </a:xfrm>
                  <a:prstGeom prst="rect">
                    <a:avLst/>
                  </a:prstGeom>
                  <a:noFill/>
                </pic:spPr>
              </pic:pic>
            </a:graphicData>
          </a:graphic>
        </wp:inline>
      </w:drawing>
    </w:r>
    <w:r>
      <w:rPr>
        <w:noProof/>
      </w:rPr>
      <w:drawing>
        <wp:inline distT="0" distB="0" distL="0" distR="0" wp14:anchorId="30E11C9E" wp14:editId="4378ADC4">
          <wp:extent cx="2512060" cy="914400"/>
          <wp:effectExtent l="0" t="0" r="254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060" cy="9144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652A" w14:textId="77777777" w:rsidR="00FF5E0E" w:rsidRDefault="00FF5E0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5C"/>
    <w:rsid w:val="0007455C"/>
    <w:rsid w:val="0009150D"/>
    <w:rsid w:val="001A585E"/>
    <w:rsid w:val="001C0573"/>
    <w:rsid w:val="001C3B21"/>
    <w:rsid w:val="00217841"/>
    <w:rsid w:val="002B7491"/>
    <w:rsid w:val="00400997"/>
    <w:rsid w:val="004619FB"/>
    <w:rsid w:val="0048224C"/>
    <w:rsid w:val="00497451"/>
    <w:rsid w:val="006655BA"/>
    <w:rsid w:val="00700B75"/>
    <w:rsid w:val="00740AD5"/>
    <w:rsid w:val="0083021A"/>
    <w:rsid w:val="008864D9"/>
    <w:rsid w:val="008A5201"/>
    <w:rsid w:val="00936771"/>
    <w:rsid w:val="009369C9"/>
    <w:rsid w:val="00976D24"/>
    <w:rsid w:val="009E78EB"/>
    <w:rsid w:val="00A92D90"/>
    <w:rsid w:val="00A97131"/>
    <w:rsid w:val="00BB13D0"/>
    <w:rsid w:val="00C23088"/>
    <w:rsid w:val="00C47553"/>
    <w:rsid w:val="00C737C9"/>
    <w:rsid w:val="00CE444F"/>
    <w:rsid w:val="00D0047E"/>
    <w:rsid w:val="00D13129"/>
    <w:rsid w:val="00D90ADF"/>
    <w:rsid w:val="00E13ACB"/>
    <w:rsid w:val="00E22F61"/>
    <w:rsid w:val="00E2786A"/>
    <w:rsid w:val="00EC7EEF"/>
    <w:rsid w:val="00FA334E"/>
    <w:rsid w:val="00FD284D"/>
    <w:rsid w:val="00FE5E10"/>
    <w:rsid w:val="00FF5E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FF81D"/>
  <w15:chartTrackingRefBased/>
  <w15:docId w15:val="{EBDA9AD6-6EF9-4FB8-AF12-C93B5FEB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D2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92D90"/>
    <w:pPr>
      <w:ind w:left="720"/>
      <w:contextualSpacing/>
    </w:pPr>
  </w:style>
  <w:style w:type="paragraph" w:styleId="Nagwek">
    <w:name w:val="header"/>
    <w:basedOn w:val="Normalny"/>
    <w:link w:val="NagwekZnak"/>
    <w:uiPriority w:val="99"/>
    <w:unhideWhenUsed/>
    <w:rsid w:val="00C737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37C9"/>
  </w:style>
  <w:style w:type="paragraph" w:styleId="Stopka">
    <w:name w:val="footer"/>
    <w:basedOn w:val="Normalny"/>
    <w:link w:val="StopkaZnak"/>
    <w:uiPriority w:val="99"/>
    <w:unhideWhenUsed/>
    <w:rsid w:val="00C737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3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462848">
      <w:bodyDiv w:val="1"/>
      <w:marLeft w:val="0"/>
      <w:marRight w:val="0"/>
      <w:marTop w:val="0"/>
      <w:marBottom w:val="0"/>
      <w:divBdr>
        <w:top w:val="none" w:sz="0" w:space="0" w:color="auto"/>
        <w:left w:val="none" w:sz="0" w:space="0" w:color="auto"/>
        <w:bottom w:val="none" w:sz="0" w:space="0" w:color="auto"/>
        <w:right w:val="none" w:sz="0" w:space="0" w:color="auto"/>
      </w:divBdr>
    </w:div>
    <w:div w:id="591164364">
      <w:bodyDiv w:val="1"/>
      <w:marLeft w:val="0"/>
      <w:marRight w:val="0"/>
      <w:marTop w:val="0"/>
      <w:marBottom w:val="0"/>
      <w:divBdr>
        <w:top w:val="none" w:sz="0" w:space="0" w:color="auto"/>
        <w:left w:val="none" w:sz="0" w:space="0" w:color="auto"/>
        <w:bottom w:val="none" w:sz="0" w:space="0" w:color="auto"/>
        <w:right w:val="none" w:sz="0" w:space="0" w:color="auto"/>
      </w:divBdr>
    </w:div>
    <w:div w:id="782765310">
      <w:bodyDiv w:val="1"/>
      <w:marLeft w:val="0"/>
      <w:marRight w:val="0"/>
      <w:marTop w:val="0"/>
      <w:marBottom w:val="0"/>
      <w:divBdr>
        <w:top w:val="none" w:sz="0" w:space="0" w:color="auto"/>
        <w:left w:val="none" w:sz="0" w:space="0" w:color="auto"/>
        <w:bottom w:val="none" w:sz="0" w:space="0" w:color="auto"/>
        <w:right w:val="none" w:sz="0" w:space="0" w:color="auto"/>
      </w:divBdr>
    </w:div>
    <w:div w:id="1823307299">
      <w:bodyDiv w:val="1"/>
      <w:marLeft w:val="0"/>
      <w:marRight w:val="0"/>
      <w:marTop w:val="0"/>
      <w:marBottom w:val="0"/>
      <w:divBdr>
        <w:top w:val="none" w:sz="0" w:space="0" w:color="auto"/>
        <w:left w:val="none" w:sz="0" w:space="0" w:color="auto"/>
        <w:bottom w:val="none" w:sz="0" w:space="0" w:color="auto"/>
        <w:right w:val="none" w:sz="0" w:space="0" w:color="auto"/>
      </w:divBdr>
    </w:div>
    <w:div w:id="204243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23CAE-23C5-4AE8-BA92-28471D71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1434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Czyżewska-Misztal</dc:creator>
  <cp:keywords/>
  <dc:description/>
  <cp:lastModifiedBy>Anna Dybiona-Jaroni</cp:lastModifiedBy>
  <cp:revision>2</cp:revision>
  <dcterms:created xsi:type="dcterms:W3CDTF">2024-01-11T11:11:00Z</dcterms:created>
  <dcterms:modified xsi:type="dcterms:W3CDTF">2024-01-11T11:11:00Z</dcterms:modified>
</cp:coreProperties>
</file>